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50" w:type="dxa"/>
        <w:tblCellSpacing w:w="15" w:type="dxa"/>
        <w:tblBorders>
          <w:top w:val="single" w:sz="2" w:space="0" w:color="444444"/>
          <w:left w:val="single" w:sz="2" w:space="0" w:color="444444"/>
          <w:bottom w:val="single" w:sz="2" w:space="0" w:color="444444"/>
          <w:right w:val="single" w:sz="2"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8526"/>
        <w:gridCol w:w="1924"/>
      </w:tblGrid>
      <w:tr w:rsidR="00DA1349" w:rsidRPr="00DA1349" w14:paraId="3FF6C900"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491569"/>
            <w:tcMar>
              <w:top w:w="120" w:type="dxa"/>
              <w:left w:w="120" w:type="dxa"/>
              <w:bottom w:w="120" w:type="dxa"/>
              <w:right w:w="120" w:type="dxa"/>
            </w:tcMar>
            <w:hideMark/>
          </w:tcPr>
          <w:p w14:paraId="79FA17D7" w14:textId="77777777" w:rsidR="00DA1349" w:rsidRPr="00DA1349" w:rsidRDefault="00DA1349" w:rsidP="00DA1349">
            <w:pPr>
              <w:spacing w:after="300" w:line="240" w:lineRule="auto"/>
              <w:rPr>
                <w:rFonts w:ascii="Poppins" w:eastAsia="Times New Roman" w:hAnsi="Poppins" w:cs="Poppins"/>
                <w:color w:val="FFFFFF"/>
                <w:kern w:val="0"/>
                <w:sz w:val="21"/>
                <w:szCs w:val="21"/>
                <w:lang w:eastAsia="en-IN"/>
                <w14:ligatures w14:val="none"/>
              </w:rPr>
            </w:pPr>
            <w:r w:rsidRPr="00DA1349">
              <w:rPr>
                <w:rFonts w:ascii="Poppins" w:eastAsia="Times New Roman" w:hAnsi="Poppins" w:cs="Poppins"/>
                <w:b/>
                <w:bCs/>
                <w:color w:val="FFFFFF"/>
                <w:kern w:val="0"/>
                <w:sz w:val="21"/>
                <w:szCs w:val="21"/>
                <w:lang w:eastAsia="en-IN"/>
                <w14:ligatures w14:val="none"/>
              </w:rPr>
              <w:t>Parts and Subject</w:t>
            </w:r>
          </w:p>
        </w:tc>
        <w:tc>
          <w:tcPr>
            <w:tcW w:w="0" w:type="auto"/>
            <w:tcBorders>
              <w:top w:val="single" w:sz="2" w:space="0" w:color="444444"/>
              <w:left w:val="single" w:sz="2" w:space="0" w:color="444444"/>
              <w:bottom w:val="single" w:sz="2" w:space="0" w:color="444444"/>
              <w:right w:val="single" w:sz="2" w:space="0" w:color="444444"/>
            </w:tcBorders>
            <w:shd w:val="clear" w:color="auto" w:fill="491569"/>
            <w:tcMar>
              <w:top w:w="120" w:type="dxa"/>
              <w:left w:w="120" w:type="dxa"/>
              <w:bottom w:w="120" w:type="dxa"/>
              <w:right w:w="120" w:type="dxa"/>
            </w:tcMar>
            <w:hideMark/>
          </w:tcPr>
          <w:p w14:paraId="0A71848D" w14:textId="77777777" w:rsidR="00DA1349" w:rsidRPr="00DA1349" w:rsidRDefault="00DA1349" w:rsidP="00DA1349">
            <w:pPr>
              <w:spacing w:after="300" w:line="240" w:lineRule="auto"/>
              <w:rPr>
                <w:rFonts w:ascii="Poppins" w:eastAsia="Times New Roman" w:hAnsi="Poppins" w:cs="Poppins"/>
                <w:color w:val="FFFFFF"/>
                <w:kern w:val="0"/>
                <w:sz w:val="21"/>
                <w:szCs w:val="21"/>
                <w:lang w:eastAsia="en-IN"/>
                <w14:ligatures w14:val="none"/>
              </w:rPr>
            </w:pPr>
            <w:r w:rsidRPr="00DA1349">
              <w:rPr>
                <w:rFonts w:ascii="Poppins" w:eastAsia="Times New Roman" w:hAnsi="Poppins" w:cs="Poppins"/>
                <w:b/>
                <w:bCs/>
                <w:color w:val="FFFFFF"/>
                <w:kern w:val="0"/>
                <w:sz w:val="21"/>
                <w:szCs w:val="21"/>
                <w:lang w:eastAsia="en-IN"/>
                <w14:ligatures w14:val="none"/>
              </w:rPr>
              <w:t>Articles</w:t>
            </w:r>
          </w:p>
        </w:tc>
      </w:tr>
      <w:tr w:rsidR="00DA1349" w:rsidRPr="00DA1349" w14:paraId="3F853FFC"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989CC2E"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I – The Union and its Territories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66AEFFB"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1 – 4</w:t>
            </w:r>
          </w:p>
        </w:tc>
      </w:tr>
      <w:tr w:rsidR="00DA1349" w:rsidRPr="00DA1349" w14:paraId="469C629F"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5F46B2E"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II – Citizenship</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CC0AC3D"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5 -11</w:t>
            </w:r>
          </w:p>
        </w:tc>
      </w:tr>
      <w:tr w:rsidR="00DA1349" w:rsidRPr="00DA1349" w14:paraId="7F89DE69"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8804C05"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III – Fundamental Rights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CF148FC"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12 – 35</w:t>
            </w:r>
          </w:p>
        </w:tc>
      </w:tr>
      <w:tr w:rsidR="00DA1349" w:rsidRPr="00DA1349" w14:paraId="06865C06"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7264D84"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IV – Directive Principles of State Policy</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378A608"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36 – 51</w:t>
            </w:r>
          </w:p>
        </w:tc>
      </w:tr>
      <w:tr w:rsidR="00DA1349" w:rsidRPr="00DA1349" w14:paraId="65308CED"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B8500DC"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IV A – Fundamental Duties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87ED7FA"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51A</w:t>
            </w:r>
          </w:p>
        </w:tc>
      </w:tr>
      <w:tr w:rsidR="00DA1349" w:rsidRPr="00DA1349" w14:paraId="04E177EF"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29B4AA6"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V – The Union</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A8B8104"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52 – 151</w:t>
            </w:r>
          </w:p>
        </w:tc>
      </w:tr>
      <w:tr w:rsidR="00DA1349" w:rsidRPr="00DA1349" w14:paraId="77D12053"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8C2BA81"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VI – The States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179C6EC"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152 – 237</w:t>
            </w:r>
          </w:p>
        </w:tc>
      </w:tr>
      <w:tr w:rsidR="00DA1349" w:rsidRPr="00DA1349" w14:paraId="07E8E148"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CD21321"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VII – The States in Part B of First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2349FF3"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238 [Repealed]</w:t>
            </w:r>
          </w:p>
        </w:tc>
      </w:tr>
      <w:tr w:rsidR="00DA1349" w:rsidRPr="00DA1349" w14:paraId="4F7998CA"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C173CE2"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VIII – The Union Territories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28766A4"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239 – 242</w:t>
            </w:r>
          </w:p>
        </w:tc>
      </w:tr>
      <w:tr w:rsidR="00DA1349" w:rsidRPr="00DA1349" w14:paraId="044A7612"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6E756ED"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IX – The Panchayats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3FE77E5"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243 – 243O</w:t>
            </w:r>
          </w:p>
        </w:tc>
      </w:tr>
      <w:tr w:rsidR="00DA1349" w:rsidRPr="00DA1349" w14:paraId="3400EF0A"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7A036FA"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IXA – The Municipalities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869F5A1"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243P – 243ZG</w:t>
            </w:r>
          </w:p>
        </w:tc>
      </w:tr>
      <w:tr w:rsidR="00DA1349" w:rsidRPr="00DA1349" w14:paraId="17E462FD"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2DF2C66"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IXB – The Co-operative Societies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6B70FC2"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243ZH – 243ZT</w:t>
            </w:r>
          </w:p>
        </w:tc>
      </w:tr>
      <w:tr w:rsidR="00DA1349" w:rsidRPr="00DA1349" w14:paraId="3578BA1E"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FB651C3"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X – The Scheduled and Tribal Areas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06B751E"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244 – 244A</w:t>
            </w:r>
          </w:p>
        </w:tc>
      </w:tr>
      <w:tr w:rsidR="00DA1349" w:rsidRPr="00DA1349" w14:paraId="3057BAF0"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388EFE8"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XI – Relation between the Union and the States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76888DF"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245 – 263</w:t>
            </w:r>
          </w:p>
        </w:tc>
      </w:tr>
      <w:tr w:rsidR="00DA1349" w:rsidRPr="00DA1349" w14:paraId="62A6D1FA"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0AB608E"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lastRenderedPageBreak/>
              <w:t>Part XII – Finance, Property, Contracts and Suits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9A3F97C"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264 – 300A</w:t>
            </w:r>
          </w:p>
        </w:tc>
      </w:tr>
      <w:tr w:rsidR="00DA1349" w:rsidRPr="00DA1349" w14:paraId="09532694"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4D24C0C"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 xml:space="preserve">Part XIII – Trade, </w:t>
            </w:r>
            <w:proofErr w:type="gramStart"/>
            <w:r w:rsidRPr="00DA1349">
              <w:rPr>
                <w:rFonts w:ascii="Poppins" w:eastAsia="Times New Roman" w:hAnsi="Poppins" w:cs="Poppins"/>
                <w:color w:val="444444"/>
                <w:kern w:val="0"/>
                <w:sz w:val="21"/>
                <w:szCs w:val="21"/>
                <w:lang w:eastAsia="en-IN"/>
                <w14:ligatures w14:val="none"/>
              </w:rPr>
              <w:t>Commerce</w:t>
            </w:r>
            <w:proofErr w:type="gramEnd"/>
            <w:r w:rsidRPr="00DA1349">
              <w:rPr>
                <w:rFonts w:ascii="Poppins" w:eastAsia="Times New Roman" w:hAnsi="Poppins" w:cs="Poppins"/>
                <w:color w:val="444444"/>
                <w:kern w:val="0"/>
                <w:sz w:val="21"/>
                <w:szCs w:val="21"/>
                <w:lang w:eastAsia="en-IN"/>
                <w14:ligatures w14:val="none"/>
              </w:rPr>
              <w:t xml:space="preserve"> and Intercourse within the territory of India</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2BC353D"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301 – 307</w:t>
            </w:r>
          </w:p>
        </w:tc>
      </w:tr>
      <w:tr w:rsidR="00DA1349" w:rsidRPr="00DA1349" w14:paraId="4B4970C8"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5FB9ED5"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XIV – Services Under the Union and the States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1094283"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308 – 323</w:t>
            </w:r>
          </w:p>
        </w:tc>
      </w:tr>
      <w:tr w:rsidR="00DA1349" w:rsidRPr="00DA1349" w14:paraId="57890A2D"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B7896A6"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XIVA – Tribunals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C385105"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323A – 323B</w:t>
            </w:r>
          </w:p>
        </w:tc>
      </w:tr>
      <w:tr w:rsidR="00DA1349" w:rsidRPr="00DA1349" w14:paraId="1088566A"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F5846A0"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XV – Elections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89A3FA4"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324 – 329A</w:t>
            </w:r>
          </w:p>
        </w:tc>
      </w:tr>
      <w:tr w:rsidR="00DA1349" w:rsidRPr="00DA1349" w14:paraId="7BB475E8"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967E032"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XVI – Special provisions relating to certain classes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110C725"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330 – 342</w:t>
            </w:r>
          </w:p>
        </w:tc>
      </w:tr>
      <w:tr w:rsidR="00DA1349" w:rsidRPr="00DA1349" w14:paraId="0E4A6B02"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51C5093"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XVII – Official language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A4BF031"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343 – 351</w:t>
            </w:r>
          </w:p>
        </w:tc>
      </w:tr>
      <w:tr w:rsidR="00DA1349" w:rsidRPr="00DA1349" w14:paraId="00586D27"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7F7F215"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XVIII – Emergency Provisions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E0EFEF9"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352 – 360</w:t>
            </w:r>
          </w:p>
        </w:tc>
      </w:tr>
      <w:tr w:rsidR="00DA1349" w:rsidRPr="00DA1349" w14:paraId="03C1B2F5"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B602AB6"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XIX – Miscellaneous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3537524"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361 – 367</w:t>
            </w:r>
          </w:p>
        </w:tc>
      </w:tr>
      <w:tr w:rsidR="00DA1349" w:rsidRPr="00DA1349" w14:paraId="3F04601D"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8FB226B"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XX – Amendment of the Constitution</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5642C4E"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368</w:t>
            </w:r>
          </w:p>
        </w:tc>
      </w:tr>
      <w:tr w:rsidR="00DA1349" w:rsidRPr="00DA1349" w14:paraId="41BEDB79"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5E7FFB8"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Part XXI – Temporary, Transitional and Special Provisions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049FEC0"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369 – 392</w:t>
            </w:r>
          </w:p>
        </w:tc>
      </w:tr>
      <w:tr w:rsidR="00DA1349" w:rsidRPr="00DA1349" w14:paraId="547C642D"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1F694FC"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 xml:space="preserve">Part XXII – Short Title, Commencement, Authoritative Text in </w:t>
            </w:r>
            <w:proofErr w:type="gramStart"/>
            <w:r w:rsidRPr="00DA1349">
              <w:rPr>
                <w:rFonts w:ascii="Poppins" w:eastAsia="Times New Roman" w:hAnsi="Poppins" w:cs="Poppins"/>
                <w:color w:val="444444"/>
                <w:kern w:val="0"/>
                <w:sz w:val="21"/>
                <w:szCs w:val="21"/>
                <w:lang w:eastAsia="en-IN"/>
                <w14:ligatures w14:val="none"/>
              </w:rPr>
              <w:t>Hindi</w:t>
            </w:r>
            <w:proofErr w:type="gramEnd"/>
            <w:r w:rsidRPr="00DA1349">
              <w:rPr>
                <w:rFonts w:ascii="Poppins" w:eastAsia="Times New Roman" w:hAnsi="Poppins" w:cs="Poppins"/>
                <w:color w:val="444444"/>
                <w:kern w:val="0"/>
                <w:sz w:val="21"/>
                <w:szCs w:val="21"/>
                <w:lang w:eastAsia="en-IN"/>
                <w14:ligatures w14:val="none"/>
              </w:rPr>
              <w:t xml:space="preserve"> and Repeals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BBE7431"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393 – 395</w:t>
            </w:r>
          </w:p>
        </w:tc>
      </w:tr>
    </w:tbl>
    <w:p w14:paraId="431BED3C" w14:textId="77777777" w:rsidR="00DA1349" w:rsidRPr="00DA1349" w:rsidRDefault="00DA1349" w:rsidP="00DA1349">
      <w:pPr>
        <w:shd w:val="clear" w:color="auto" w:fill="FFFFFF"/>
        <w:spacing w:after="240" w:line="360" w:lineRule="atLeast"/>
        <w:rPr>
          <w:rFonts w:ascii="Poppins" w:eastAsia="Times New Roman" w:hAnsi="Poppins" w:cs="Poppins"/>
          <w:color w:val="444444"/>
          <w:kern w:val="0"/>
          <w:sz w:val="24"/>
          <w:szCs w:val="24"/>
          <w:lang w:eastAsia="en-IN"/>
          <w14:ligatures w14:val="none"/>
        </w:rPr>
      </w:pPr>
      <w:r w:rsidRPr="00DA1349">
        <w:rPr>
          <w:rFonts w:ascii="Poppins" w:eastAsia="Times New Roman" w:hAnsi="Poppins" w:cs="Poppins"/>
          <w:b/>
          <w:bCs/>
          <w:color w:val="444444"/>
          <w:kern w:val="0"/>
          <w:sz w:val="24"/>
          <w:szCs w:val="24"/>
          <w:lang w:eastAsia="en-IN"/>
          <w14:ligatures w14:val="none"/>
        </w:rPr>
        <w:t>Schedules of Indian Constitution:</w:t>
      </w:r>
    </w:p>
    <w:p w14:paraId="2168FD4D" w14:textId="77777777" w:rsidR="00DA1349" w:rsidRPr="00DA1349" w:rsidRDefault="00DA1349" w:rsidP="00DA1349">
      <w:pPr>
        <w:shd w:val="clear" w:color="auto" w:fill="FFFFFF"/>
        <w:spacing w:after="240" w:line="360" w:lineRule="atLeast"/>
        <w:rPr>
          <w:rFonts w:ascii="Poppins" w:eastAsia="Times New Roman" w:hAnsi="Poppins" w:cs="Poppins"/>
          <w:color w:val="444444"/>
          <w:kern w:val="0"/>
          <w:sz w:val="24"/>
          <w:szCs w:val="24"/>
          <w:lang w:eastAsia="en-IN"/>
          <w14:ligatures w14:val="none"/>
        </w:rPr>
      </w:pPr>
      <w:r w:rsidRPr="00DA1349">
        <w:rPr>
          <w:rFonts w:ascii="Poppins" w:eastAsia="Times New Roman" w:hAnsi="Poppins" w:cs="Poppins"/>
          <w:color w:val="444444"/>
          <w:kern w:val="0"/>
          <w:sz w:val="24"/>
          <w:szCs w:val="24"/>
          <w:lang w:eastAsia="en-IN"/>
          <w14:ligatures w14:val="none"/>
        </w:rPr>
        <w:t>Schedules were first mentioned in the </w:t>
      </w:r>
      <w:hyperlink r:id="rId5" w:history="1">
        <w:r w:rsidRPr="00DA1349">
          <w:rPr>
            <w:rFonts w:ascii="Poppins" w:eastAsia="Times New Roman" w:hAnsi="Poppins" w:cs="Poppins"/>
            <w:color w:val="8C69FF"/>
            <w:kern w:val="0"/>
            <w:sz w:val="24"/>
            <w:szCs w:val="24"/>
            <w:u w:val="single"/>
            <w:lang w:eastAsia="en-IN"/>
            <w14:ligatures w14:val="none"/>
          </w:rPr>
          <w:t>Government of India Act, 1935</w:t>
        </w:r>
      </w:hyperlink>
      <w:r w:rsidRPr="00DA1349">
        <w:rPr>
          <w:rFonts w:ascii="Poppins" w:eastAsia="Times New Roman" w:hAnsi="Poppins" w:cs="Poppins"/>
          <w:color w:val="444444"/>
          <w:kern w:val="0"/>
          <w:sz w:val="24"/>
          <w:szCs w:val="24"/>
          <w:lang w:eastAsia="en-IN"/>
          <w14:ligatures w14:val="none"/>
        </w:rPr>
        <w:t xml:space="preserve"> where it included 10 Schedules. Later, when the Indian Constitution was adopted in 1949, it had 8 Schedules. Later, with </w:t>
      </w:r>
      <w:proofErr w:type="gramStart"/>
      <w:r w:rsidRPr="00DA1349">
        <w:rPr>
          <w:rFonts w:ascii="Poppins" w:eastAsia="Times New Roman" w:hAnsi="Poppins" w:cs="Poppins"/>
          <w:color w:val="444444"/>
          <w:kern w:val="0"/>
          <w:sz w:val="24"/>
          <w:szCs w:val="24"/>
          <w:lang w:eastAsia="en-IN"/>
          <w14:ligatures w14:val="none"/>
        </w:rPr>
        <w:t>subsequent  amendments</w:t>
      </w:r>
      <w:proofErr w:type="gramEnd"/>
      <w:r w:rsidRPr="00DA1349">
        <w:rPr>
          <w:rFonts w:ascii="Poppins" w:eastAsia="Times New Roman" w:hAnsi="Poppins" w:cs="Poppins"/>
          <w:color w:val="444444"/>
          <w:kern w:val="0"/>
          <w:sz w:val="24"/>
          <w:szCs w:val="24"/>
          <w:lang w:eastAsia="en-IN"/>
          <w14:ligatures w14:val="none"/>
        </w:rPr>
        <w:t xml:space="preserve"> in the Indian Constitution, there are a total of 12 Schedules. Currently, there are 12 Schedules in the Constitution of India. They are:</w:t>
      </w:r>
    </w:p>
    <w:tbl>
      <w:tblPr>
        <w:tblW w:w="10450" w:type="dxa"/>
        <w:tblCellSpacing w:w="15" w:type="dxa"/>
        <w:tblBorders>
          <w:top w:val="single" w:sz="2" w:space="0" w:color="444444"/>
          <w:left w:val="single" w:sz="2" w:space="0" w:color="444444"/>
          <w:bottom w:val="single" w:sz="2" w:space="0" w:color="444444"/>
          <w:right w:val="single" w:sz="2"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1525"/>
        <w:gridCol w:w="8925"/>
      </w:tblGrid>
      <w:tr w:rsidR="00DA1349" w:rsidRPr="00DA1349" w14:paraId="0FFABB61" w14:textId="77777777" w:rsidTr="00DA1349">
        <w:trPr>
          <w:tblCellSpacing w:w="15" w:type="dxa"/>
        </w:trPr>
        <w:tc>
          <w:tcPr>
            <w:tcW w:w="0" w:type="auto"/>
            <w:gridSpan w:val="2"/>
            <w:tcBorders>
              <w:top w:val="single" w:sz="2" w:space="0" w:color="444444"/>
              <w:left w:val="single" w:sz="2" w:space="0" w:color="444444"/>
              <w:bottom w:val="single" w:sz="2" w:space="0" w:color="444444"/>
              <w:right w:val="single" w:sz="2" w:space="0" w:color="444444"/>
            </w:tcBorders>
            <w:shd w:val="clear" w:color="auto" w:fill="491569"/>
            <w:tcMar>
              <w:top w:w="120" w:type="dxa"/>
              <w:left w:w="120" w:type="dxa"/>
              <w:bottom w:w="120" w:type="dxa"/>
              <w:right w:w="120" w:type="dxa"/>
            </w:tcMar>
            <w:hideMark/>
          </w:tcPr>
          <w:p w14:paraId="53CA3908" w14:textId="77777777" w:rsidR="00DA1349" w:rsidRPr="00DA1349" w:rsidRDefault="00DA1349" w:rsidP="00DA1349">
            <w:pPr>
              <w:spacing w:after="300" w:line="240" w:lineRule="auto"/>
              <w:rPr>
                <w:rFonts w:ascii="Poppins" w:eastAsia="Times New Roman" w:hAnsi="Poppins" w:cs="Poppins"/>
                <w:color w:val="FFFFFF"/>
                <w:kern w:val="0"/>
                <w:sz w:val="21"/>
                <w:szCs w:val="21"/>
                <w:lang w:eastAsia="en-IN"/>
                <w14:ligatures w14:val="none"/>
              </w:rPr>
            </w:pPr>
            <w:r w:rsidRPr="00DA1349">
              <w:rPr>
                <w:rFonts w:ascii="Poppins" w:eastAsia="Times New Roman" w:hAnsi="Poppins" w:cs="Poppins"/>
                <w:b/>
                <w:bCs/>
                <w:color w:val="FFFFFF"/>
                <w:kern w:val="0"/>
                <w:sz w:val="21"/>
                <w:szCs w:val="21"/>
                <w:lang w:eastAsia="en-IN"/>
                <w14:ligatures w14:val="none"/>
              </w:rPr>
              <w:lastRenderedPageBreak/>
              <w:t>Schedules in Indian Constitution</w:t>
            </w:r>
          </w:p>
        </w:tc>
      </w:tr>
      <w:tr w:rsidR="00DA1349" w:rsidRPr="00DA1349" w14:paraId="19869B19"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0F3390E"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b/>
                <w:bCs/>
                <w:color w:val="444444"/>
                <w:kern w:val="0"/>
                <w:sz w:val="21"/>
                <w:szCs w:val="21"/>
                <w:lang w:eastAsia="en-IN"/>
                <w14:ligatures w14:val="none"/>
              </w:rPr>
              <w:t>Schedules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DE08622"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b/>
                <w:bCs/>
                <w:color w:val="444444"/>
                <w:kern w:val="0"/>
                <w:sz w:val="21"/>
                <w:szCs w:val="21"/>
                <w:lang w:eastAsia="en-IN"/>
                <w14:ligatures w14:val="none"/>
              </w:rPr>
              <w:t>Features of Schedules</w:t>
            </w:r>
          </w:p>
        </w:tc>
      </w:tr>
      <w:tr w:rsidR="00DA1349" w:rsidRPr="00DA1349" w14:paraId="1597989D"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BF8D244"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1st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3A75FC7" w14:textId="77777777" w:rsidR="00DA1349" w:rsidRPr="00DA1349" w:rsidRDefault="00DA1349" w:rsidP="00DA1349">
            <w:pPr>
              <w:spacing w:after="30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It contains the name of States and Union Territories</w:t>
            </w:r>
          </w:p>
          <w:p w14:paraId="771256C4" w14:textId="77777777" w:rsidR="00DA1349" w:rsidRPr="00DA1349" w:rsidRDefault="00DA1349" w:rsidP="00DA1349">
            <w:pPr>
              <w:spacing w:after="0" w:line="360" w:lineRule="atLeast"/>
              <w:rPr>
                <w:rFonts w:ascii="Poppins" w:eastAsia="Times New Roman" w:hAnsi="Poppins" w:cs="Poppins"/>
                <w:color w:val="444444"/>
                <w:kern w:val="0"/>
                <w:sz w:val="24"/>
                <w:szCs w:val="24"/>
                <w:lang w:eastAsia="en-IN"/>
                <w14:ligatures w14:val="none"/>
              </w:rPr>
            </w:pPr>
            <w:r w:rsidRPr="00DA1349">
              <w:rPr>
                <w:rFonts w:ascii="Poppins" w:eastAsia="Times New Roman" w:hAnsi="Poppins" w:cs="Poppins"/>
                <w:color w:val="444444"/>
                <w:kern w:val="0"/>
                <w:sz w:val="24"/>
                <w:szCs w:val="24"/>
                <w:lang w:eastAsia="en-IN"/>
                <w14:ligatures w14:val="none"/>
              </w:rPr>
              <w:t>Territorial Jurisdiction of states is also included</w:t>
            </w:r>
          </w:p>
        </w:tc>
      </w:tr>
      <w:tr w:rsidR="00DA1349" w:rsidRPr="00DA1349" w14:paraId="36218ACF"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3C678CD"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2nd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0155267"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The provisions in relation to allowances, privileges, emoluments of:</w:t>
            </w:r>
          </w:p>
          <w:p w14:paraId="6D06EBB1" w14:textId="77777777" w:rsidR="00DA1349" w:rsidRPr="00DA1349" w:rsidRDefault="00DA1349" w:rsidP="00DA1349">
            <w:pPr>
              <w:numPr>
                <w:ilvl w:val="0"/>
                <w:numId w:val="1"/>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President of India</w:t>
            </w:r>
          </w:p>
          <w:p w14:paraId="3D8CE0EF" w14:textId="77777777" w:rsidR="00DA1349" w:rsidRPr="00DA1349" w:rsidRDefault="00DA1349" w:rsidP="00DA1349">
            <w:pPr>
              <w:numPr>
                <w:ilvl w:val="0"/>
                <w:numId w:val="1"/>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Governors of Indian States</w:t>
            </w:r>
          </w:p>
          <w:p w14:paraId="609DFF92" w14:textId="77777777" w:rsidR="00DA1349" w:rsidRPr="00DA1349" w:rsidRDefault="00DA1349" w:rsidP="00DA1349">
            <w:pPr>
              <w:numPr>
                <w:ilvl w:val="0"/>
                <w:numId w:val="1"/>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Speaker of Lok Sabha &amp; Deputy Speaker of Lok Sabha</w:t>
            </w:r>
          </w:p>
          <w:p w14:paraId="28628092" w14:textId="77777777" w:rsidR="00DA1349" w:rsidRPr="00DA1349" w:rsidRDefault="00DA1349" w:rsidP="00DA1349">
            <w:pPr>
              <w:numPr>
                <w:ilvl w:val="0"/>
                <w:numId w:val="1"/>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Chairman of Rajya Sabha &amp; Deputy Chairman of Rajya Sabha</w:t>
            </w:r>
          </w:p>
          <w:p w14:paraId="65EB3688" w14:textId="77777777" w:rsidR="00DA1349" w:rsidRPr="00DA1349" w:rsidRDefault="00DA1349" w:rsidP="00DA1349">
            <w:pPr>
              <w:numPr>
                <w:ilvl w:val="0"/>
                <w:numId w:val="1"/>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Speaker and Deputy Speaker of Legislative Assemblies of Indian States</w:t>
            </w:r>
          </w:p>
          <w:p w14:paraId="0B97E2EA" w14:textId="77777777" w:rsidR="00DA1349" w:rsidRPr="00DA1349" w:rsidRDefault="00DA1349" w:rsidP="00DA1349">
            <w:pPr>
              <w:numPr>
                <w:ilvl w:val="0"/>
                <w:numId w:val="1"/>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Chairman and Deputy Chairman of Legislative Councils of the Indian States</w:t>
            </w:r>
          </w:p>
          <w:p w14:paraId="5CE8E6E0" w14:textId="77777777" w:rsidR="00DA1349" w:rsidRPr="00DA1349" w:rsidRDefault="00DA1349" w:rsidP="00DA1349">
            <w:pPr>
              <w:numPr>
                <w:ilvl w:val="0"/>
                <w:numId w:val="1"/>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Supreme Court Judges</w:t>
            </w:r>
          </w:p>
          <w:p w14:paraId="6DEDFE3B" w14:textId="77777777" w:rsidR="00DA1349" w:rsidRPr="00DA1349" w:rsidRDefault="00DA1349" w:rsidP="00DA1349">
            <w:pPr>
              <w:numPr>
                <w:ilvl w:val="0"/>
                <w:numId w:val="1"/>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High Court Judges</w:t>
            </w:r>
          </w:p>
          <w:p w14:paraId="5E3F1BFC" w14:textId="77777777" w:rsidR="00DA1349" w:rsidRPr="00DA1349" w:rsidRDefault="00DA1349" w:rsidP="00DA1349">
            <w:pPr>
              <w:numPr>
                <w:ilvl w:val="0"/>
                <w:numId w:val="1"/>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Comptroller &amp; Auditor General of India (CAG)</w:t>
            </w:r>
          </w:p>
        </w:tc>
      </w:tr>
      <w:tr w:rsidR="00DA1349" w:rsidRPr="00DA1349" w14:paraId="40AA6CF8"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FD6EF21"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3rd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3A0AD37"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It contains the forms of oath and affirmation for:</w:t>
            </w:r>
          </w:p>
          <w:p w14:paraId="3621E3DC" w14:textId="77777777" w:rsidR="00DA1349" w:rsidRPr="00DA1349" w:rsidRDefault="00DA1349" w:rsidP="00DA1349">
            <w:pPr>
              <w:numPr>
                <w:ilvl w:val="0"/>
                <w:numId w:val="2"/>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Union Ministers of India</w:t>
            </w:r>
          </w:p>
          <w:p w14:paraId="4D2F3055" w14:textId="77777777" w:rsidR="00DA1349" w:rsidRPr="00DA1349" w:rsidRDefault="00DA1349" w:rsidP="00DA1349">
            <w:pPr>
              <w:numPr>
                <w:ilvl w:val="0"/>
                <w:numId w:val="2"/>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Parliament Election Candidates</w:t>
            </w:r>
          </w:p>
          <w:p w14:paraId="265E1CAC" w14:textId="77777777" w:rsidR="00DA1349" w:rsidRPr="00DA1349" w:rsidRDefault="00DA1349" w:rsidP="00DA1349">
            <w:pPr>
              <w:numPr>
                <w:ilvl w:val="0"/>
                <w:numId w:val="2"/>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Members of Parliament (MPs)</w:t>
            </w:r>
          </w:p>
          <w:p w14:paraId="037ECCA1" w14:textId="77777777" w:rsidR="00DA1349" w:rsidRPr="00DA1349" w:rsidRDefault="00DA1349" w:rsidP="00DA1349">
            <w:pPr>
              <w:numPr>
                <w:ilvl w:val="0"/>
                <w:numId w:val="2"/>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Supreme Court Judges</w:t>
            </w:r>
          </w:p>
          <w:p w14:paraId="327CDD4F" w14:textId="77777777" w:rsidR="00DA1349" w:rsidRPr="00DA1349" w:rsidRDefault="00DA1349" w:rsidP="00DA1349">
            <w:pPr>
              <w:numPr>
                <w:ilvl w:val="0"/>
                <w:numId w:val="2"/>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Comptroller and Auditor General</w:t>
            </w:r>
          </w:p>
          <w:p w14:paraId="7B42E89A" w14:textId="77777777" w:rsidR="00DA1349" w:rsidRPr="00DA1349" w:rsidRDefault="00DA1349" w:rsidP="00DA1349">
            <w:pPr>
              <w:numPr>
                <w:ilvl w:val="0"/>
                <w:numId w:val="2"/>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State Ministers</w:t>
            </w:r>
          </w:p>
          <w:p w14:paraId="50E25208" w14:textId="77777777" w:rsidR="00DA1349" w:rsidRPr="00DA1349" w:rsidRDefault="00DA1349" w:rsidP="00DA1349">
            <w:pPr>
              <w:numPr>
                <w:ilvl w:val="0"/>
                <w:numId w:val="2"/>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State Legislature Elections’ Candidates</w:t>
            </w:r>
          </w:p>
          <w:p w14:paraId="1571E0F0" w14:textId="77777777" w:rsidR="00DA1349" w:rsidRPr="00DA1349" w:rsidRDefault="00DA1349" w:rsidP="00DA1349">
            <w:pPr>
              <w:numPr>
                <w:ilvl w:val="0"/>
                <w:numId w:val="2"/>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State Legislature Members</w:t>
            </w:r>
          </w:p>
          <w:p w14:paraId="4CCF1D78" w14:textId="77777777" w:rsidR="00DA1349" w:rsidRPr="00DA1349" w:rsidRDefault="00DA1349" w:rsidP="00DA1349">
            <w:pPr>
              <w:numPr>
                <w:ilvl w:val="0"/>
                <w:numId w:val="2"/>
              </w:numPr>
              <w:spacing w:before="100" w:beforeAutospacing="1" w:after="75"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High Court Judges</w:t>
            </w:r>
          </w:p>
        </w:tc>
      </w:tr>
      <w:tr w:rsidR="00DA1349" w:rsidRPr="00DA1349" w14:paraId="3C99931B"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52340E8"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4th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47DE3D1"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It contains the provisions in relation to the allocation of seats for States and Union Territories in the Rajya Sabha</w:t>
            </w:r>
          </w:p>
        </w:tc>
      </w:tr>
      <w:tr w:rsidR="00DA1349" w:rsidRPr="00DA1349" w14:paraId="32950F0D"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AAD45E7"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lastRenderedPageBreak/>
              <w:t>5th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45F999E"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It contains provisions in relation to the administration and control of scheduled areas and scheduled tribes</w:t>
            </w:r>
          </w:p>
        </w:tc>
      </w:tr>
      <w:tr w:rsidR="00DA1349" w:rsidRPr="00DA1349" w14:paraId="2EF64D1B"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B6F3899"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6th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4DAF504"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 xml:space="preserve">It contains provisions in relation to the administration of tribal areas in the states of Assam, Meghalaya, </w:t>
            </w:r>
            <w:proofErr w:type="gramStart"/>
            <w:r w:rsidRPr="00DA1349">
              <w:rPr>
                <w:rFonts w:ascii="Poppins" w:eastAsia="Times New Roman" w:hAnsi="Poppins" w:cs="Poppins"/>
                <w:color w:val="444444"/>
                <w:kern w:val="0"/>
                <w:sz w:val="21"/>
                <w:szCs w:val="21"/>
                <w:lang w:eastAsia="en-IN"/>
                <w14:ligatures w14:val="none"/>
              </w:rPr>
              <w:t>Tripura</w:t>
            </w:r>
            <w:proofErr w:type="gramEnd"/>
            <w:r w:rsidRPr="00DA1349">
              <w:rPr>
                <w:rFonts w:ascii="Poppins" w:eastAsia="Times New Roman" w:hAnsi="Poppins" w:cs="Poppins"/>
                <w:color w:val="444444"/>
                <w:kern w:val="0"/>
                <w:sz w:val="21"/>
                <w:szCs w:val="21"/>
                <w:lang w:eastAsia="en-IN"/>
                <w14:ligatures w14:val="none"/>
              </w:rPr>
              <w:t xml:space="preserve"> and Mizoram</w:t>
            </w:r>
          </w:p>
        </w:tc>
      </w:tr>
      <w:tr w:rsidR="00DA1349" w:rsidRPr="00DA1349" w14:paraId="6CC13F04"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9F8D68E"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7th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A4BE5F2"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This schedule deals with the three legislative lists</w:t>
            </w:r>
          </w:p>
        </w:tc>
      </w:tr>
      <w:tr w:rsidR="00DA1349" w:rsidRPr="00DA1349" w14:paraId="3BF3C2CA"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C9B6EF1"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8th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1FC0260"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It deals with the 22 official languages recognized by the Constitution:</w:t>
            </w:r>
          </w:p>
        </w:tc>
      </w:tr>
      <w:tr w:rsidR="00DA1349" w:rsidRPr="00DA1349" w14:paraId="1D6260F5"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18495C8"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9th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672CE55"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It deals with the state acts and regulations of that deal with land reforms and the abolition of the Zamindari system. It also deals with the acts and regulations of the Parliament dealing with other matters.</w:t>
            </w:r>
          </w:p>
        </w:tc>
      </w:tr>
      <w:tr w:rsidR="00DA1349" w:rsidRPr="00DA1349" w14:paraId="03E3EB5D"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22E54D1"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10th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678D083"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It contains provisions relating to disqualification of the members of Parliament and State Legislatures on the ground of defection.</w:t>
            </w:r>
          </w:p>
        </w:tc>
      </w:tr>
      <w:tr w:rsidR="00DA1349" w:rsidRPr="00DA1349" w14:paraId="22A34DF7"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9C903FC"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11th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FAAB30A"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 xml:space="preserve">It contains the provisions that specify the powers, </w:t>
            </w:r>
            <w:proofErr w:type="gramStart"/>
            <w:r w:rsidRPr="00DA1349">
              <w:rPr>
                <w:rFonts w:ascii="Poppins" w:eastAsia="Times New Roman" w:hAnsi="Poppins" w:cs="Poppins"/>
                <w:color w:val="444444"/>
                <w:kern w:val="0"/>
                <w:sz w:val="21"/>
                <w:szCs w:val="21"/>
                <w:lang w:eastAsia="en-IN"/>
                <w14:ligatures w14:val="none"/>
              </w:rPr>
              <w:t>authority</w:t>
            </w:r>
            <w:proofErr w:type="gramEnd"/>
            <w:r w:rsidRPr="00DA1349">
              <w:rPr>
                <w:rFonts w:ascii="Poppins" w:eastAsia="Times New Roman" w:hAnsi="Poppins" w:cs="Poppins"/>
                <w:color w:val="444444"/>
                <w:kern w:val="0"/>
                <w:sz w:val="21"/>
                <w:szCs w:val="21"/>
                <w:lang w:eastAsia="en-IN"/>
                <w14:ligatures w14:val="none"/>
              </w:rPr>
              <w:t xml:space="preserve"> and responsibilities of Panchayats.</w:t>
            </w:r>
          </w:p>
        </w:tc>
      </w:tr>
      <w:tr w:rsidR="00DA1349" w:rsidRPr="00DA1349" w14:paraId="27D64408" w14:textId="77777777" w:rsidTr="00DA1349">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DF2D392"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12th Schedule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7AB75E3" w14:textId="77777777" w:rsidR="00DA1349" w:rsidRPr="00DA1349" w:rsidRDefault="00DA1349" w:rsidP="00DA1349">
            <w:pPr>
              <w:spacing w:after="0" w:line="240" w:lineRule="auto"/>
              <w:rPr>
                <w:rFonts w:ascii="Poppins" w:eastAsia="Times New Roman" w:hAnsi="Poppins" w:cs="Poppins"/>
                <w:color w:val="444444"/>
                <w:kern w:val="0"/>
                <w:sz w:val="21"/>
                <w:szCs w:val="21"/>
                <w:lang w:eastAsia="en-IN"/>
                <w14:ligatures w14:val="none"/>
              </w:rPr>
            </w:pPr>
            <w:r w:rsidRPr="00DA1349">
              <w:rPr>
                <w:rFonts w:ascii="Poppins" w:eastAsia="Times New Roman" w:hAnsi="Poppins" w:cs="Poppins"/>
                <w:color w:val="444444"/>
                <w:kern w:val="0"/>
                <w:sz w:val="21"/>
                <w:szCs w:val="21"/>
                <w:lang w:eastAsia="en-IN"/>
                <w14:ligatures w14:val="none"/>
              </w:rPr>
              <w:t xml:space="preserve">It deals with the provisions that specify the powers, </w:t>
            </w:r>
            <w:proofErr w:type="gramStart"/>
            <w:r w:rsidRPr="00DA1349">
              <w:rPr>
                <w:rFonts w:ascii="Poppins" w:eastAsia="Times New Roman" w:hAnsi="Poppins" w:cs="Poppins"/>
                <w:color w:val="444444"/>
                <w:kern w:val="0"/>
                <w:sz w:val="21"/>
                <w:szCs w:val="21"/>
                <w:lang w:eastAsia="en-IN"/>
                <w14:ligatures w14:val="none"/>
              </w:rPr>
              <w:t>authority</w:t>
            </w:r>
            <w:proofErr w:type="gramEnd"/>
            <w:r w:rsidRPr="00DA1349">
              <w:rPr>
                <w:rFonts w:ascii="Poppins" w:eastAsia="Times New Roman" w:hAnsi="Poppins" w:cs="Poppins"/>
                <w:color w:val="444444"/>
                <w:kern w:val="0"/>
                <w:sz w:val="21"/>
                <w:szCs w:val="21"/>
                <w:lang w:eastAsia="en-IN"/>
                <w14:ligatures w14:val="none"/>
              </w:rPr>
              <w:t xml:space="preserve"> and responsibilities of Municipalities.</w:t>
            </w:r>
          </w:p>
        </w:tc>
      </w:tr>
    </w:tbl>
    <w:p w14:paraId="6CF2A719" w14:textId="77777777" w:rsidR="00555708" w:rsidRDefault="00555708"/>
    <w:sectPr w:rsidR="005557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A5857"/>
    <w:multiLevelType w:val="multilevel"/>
    <w:tmpl w:val="8D6C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866C6"/>
    <w:multiLevelType w:val="multilevel"/>
    <w:tmpl w:val="F082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5373083">
    <w:abstractNumId w:val="1"/>
  </w:num>
  <w:num w:numId="2" w16cid:durableId="673068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E1"/>
    <w:rsid w:val="000033E1"/>
    <w:rsid w:val="00555708"/>
    <w:rsid w:val="00DA1349"/>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03B29-61B8-469A-8824-B79D782D8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ml-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A1349"/>
    <w:rPr>
      <w:b/>
      <w:bCs/>
    </w:rPr>
  </w:style>
  <w:style w:type="paragraph" w:styleId="NormalWeb">
    <w:name w:val="Normal (Web)"/>
    <w:basedOn w:val="Normal"/>
    <w:uiPriority w:val="99"/>
    <w:semiHidden/>
    <w:unhideWhenUsed/>
    <w:rsid w:val="00DA1349"/>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semiHidden/>
    <w:unhideWhenUsed/>
    <w:rsid w:val="00DA13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77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yjus.com/free-ias-prep/government-of-india-act-193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580</Words>
  <Characters>3312</Characters>
  <Application>Microsoft Office Word</Application>
  <DocSecurity>0</DocSecurity>
  <Lines>27</Lines>
  <Paragraphs>7</Paragraphs>
  <ScaleCrop>false</ScaleCrop>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4248</dc:creator>
  <cp:keywords/>
  <dc:description/>
  <cp:lastModifiedBy>4248</cp:lastModifiedBy>
  <cp:revision>2</cp:revision>
  <dcterms:created xsi:type="dcterms:W3CDTF">2023-10-09T04:13:00Z</dcterms:created>
  <dcterms:modified xsi:type="dcterms:W3CDTF">2023-10-09T04:14:00Z</dcterms:modified>
</cp:coreProperties>
</file>